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F0580" w14:textId="77777777" w:rsidR="00BF2872" w:rsidRPr="007222F1" w:rsidRDefault="00BF2872" w:rsidP="00BF2872">
      <w:pPr>
        <w:keepNext/>
        <w:keepLines/>
        <w:widowControl/>
        <w:autoSpaceDE/>
        <w:autoSpaceDN/>
        <w:spacing w:before="480" w:line="276" w:lineRule="auto"/>
        <w:jc w:val="center"/>
        <w:outlineLvl w:val="0"/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</w:pPr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JAVNI POZIV</w:t>
      </w:r>
    </w:p>
    <w:p w14:paraId="4572D7D7" w14:textId="36BA4D96" w:rsidR="00BF2872" w:rsidRPr="007222F1" w:rsidRDefault="00BF2872" w:rsidP="00BF2872">
      <w:pPr>
        <w:keepNext/>
        <w:keepLines/>
        <w:widowControl/>
        <w:autoSpaceDE/>
        <w:autoSpaceDN/>
        <w:spacing w:before="200" w:line="276" w:lineRule="auto"/>
        <w:jc w:val="center"/>
        <w:outlineLvl w:val="1"/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</w:pPr>
      <w:proofErr w:type="spellStart"/>
      <w:proofErr w:type="gramStart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za</w:t>
      </w:r>
      <w:proofErr w:type="spellEnd"/>
      <w:proofErr w:type="gramEnd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dodjelu</w:t>
      </w:r>
      <w:proofErr w:type="spellEnd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potpora</w:t>
      </w:r>
      <w:proofErr w:type="spellEnd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4954A7"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događanjima</w:t>
      </w:r>
      <w:proofErr w:type="spellEnd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br/>
      </w:r>
      <w:proofErr w:type="spellStart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Turističke</w:t>
      </w:r>
      <w:proofErr w:type="spellEnd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zajednice</w:t>
      </w:r>
      <w:proofErr w:type="spellEnd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 xml:space="preserve"> Grada </w:t>
      </w:r>
      <w:proofErr w:type="spellStart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Malog</w:t>
      </w:r>
      <w:proofErr w:type="spellEnd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Lošinja</w:t>
      </w:r>
      <w:proofErr w:type="spellEnd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za</w:t>
      </w:r>
      <w:proofErr w:type="spellEnd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 xml:space="preserve"> 2026. </w:t>
      </w:r>
      <w:proofErr w:type="spellStart"/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Godinu</w:t>
      </w:r>
      <w:proofErr w:type="spellEnd"/>
    </w:p>
    <w:p w14:paraId="635E3992" w14:textId="77777777" w:rsidR="00BF2872" w:rsidRPr="007222F1" w:rsidRDefault="00BF2872" w:rsidP="00BF2872">
      <w:pPr>
        <w:keepNext/>
        <w:keepLines/>
        <w:widowControl/>
        <w:autoSpaceDE/>
        <w:autoSpaceDN/>
        <w:spacing w:before="200" w:line="276" w:lineRule="auto"/>
        <w:jc w:val="center"/>
        <w:outlineLvl w:val="1"/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</w:pPr>
    </w:p>
    <w:p w14:paraId="61CF32DD" w14:textId="79128931" w:rsidR="00BF2872" w:rsidRPr="007222F1" w:rsidRDefault="00BF2872" w:rsidP="00BF2872">
      <w:pPr>
        <w:widowControl/>
        <w:autoSpaceDE/>
        <w:autoSpaceDN/>
        <w:spacing w:after="200" w:line="276" w:lineRule="auto"/>
        <w:jc w:val="center"/>
        <w:rPr>
          <w:rFonts w:asciiTheme="minorHAnsi" w:eastAsia="MS Mincho" w:hAnsiTheme="minorHAnsi" w:cstheme="minorHAnsi"/>
          <w:sz w:val="24"/>
          <w:szCs w:val="24"/>
          <w:lang w:val="en-US"/>
        </w:rPr>
      </w:pPr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Na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temelju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Programa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rada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Turističke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zajednice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Grada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Malog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Lošinja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2026.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godinu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Turistička zajednica Grada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Malog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Lošinja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(u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daljnjem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tekstu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: TZG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Malog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Lošinja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)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objavljuje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Javni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poziv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dodjelu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bespovratnih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financijskih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potpora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954A7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koje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se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održavaju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na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području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Grada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Malog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Lošinja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u 2026.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godini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.</w:t>
      </w:r>
    </w:p>
    <w:p w14:paraId="585D26C1" w14:textId="77777777" w:rsidR="00BF2872" w:rsidRPr="007222F1" w:rsidRDefault="00BF2872" w:rsidP="00BF2872">
      <w:pPr>
        <w:widowControl/>
        <w:autoSpaceDE/>
        <w:autoSpaceDN/>
        <w:spacing w:after="200" w:line="276" w:lineRule="auto"/>
        <w:jc w:val="center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64DF275E" w14:textId="77777777" w:rsidR="00BF2872" w:rsidRPr="007222F1" w:rsidRDefault="00BF2872" w:rsidP="00BF2872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</w:pPr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I. PREDMET JAVNOG POZIVA</w:t>
      </w:r>
    </w:p>
    <w:p w14:paraId="5FF62E3E" w14:textId="2EFDD6F9" w:rsidR="00BF2872" w:rsidRPr="007222F1" w:rsidRDefault="00BF2872" w:rsidP="00BF2872">
      <w:pPr>
        <w:widowControl/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Predmet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ovog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Javnog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poziva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je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prikupljanje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prijava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dodjelu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financijskih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potpora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954A7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događanjima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od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interesa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turizam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koje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će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se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održati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na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području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Grada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Malog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Lošinja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u 2026.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godini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a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koje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se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sufinanciraju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sredstvima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Programa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rada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TZG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Malog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Lošinja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.</w:t>
      </w:r>
    </w:p>
    <w:p w14:paraId="08A49F92" w14:textId="77777777" w:rsidR="00BF2872" w:rsidRPr="007222F1" w:rsidRDefault="00BF2872" w:rsidP="00BF2872">
      <w:pPr>
        <w:widowControl/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0258EC59" w14:textId="77777777" w:rsidR="00BF2872" w:rsidRPr="007222F1" w:rsidRDefault="00BF2872" w:rsidP="00BF2872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</w:pPr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II. CILJEVI DODJELE POTPORA</w:t>
      </w:r>
    </w:p>
    <w:p w14:paraId="286FD46C" w14:textId="6B5B9A64" w:rsidR="00BF2872" w:rsidRPr="007222F1" w:rsidRDefault="00BF2872" w:rsidP="00BF2872">
      <w:pPr>
        <w:widowControl/>
        <w:autoSpaceDE/>
        <w:autoSpaceDN/>
        <w:spacing w:after="200" w:line="360" w:lineRule="auto"/>
        <w:rPr>
          <w:rFonts w:asciiTheme="minorHAnsi" w:eastAsia="MS Mincho" w:hAnsiTheme="minorHAnsi" w:cstheme="minorHAnsi"/>
          <w:sz w:val="24"/>
          <w:szCs w:val="24"/>
          <w:lang w:val="en-US"/>
        </w:rPr>
      </w:pPr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-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obogaćivanje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turističke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ponude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Grada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Malog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Lošinja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br/>
        <w:t xml:space="preserve">-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povećanje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turističkog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prometa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osobito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u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predsezoni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posezoni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br/>
        <w:t xml:space="preserve">-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produženje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turističke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sezone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br/>
        <w:t xml:space="preserve">-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jačanje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prepoznatljivosti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destinacije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Lošinj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–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Otok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vitalnosti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br/>
        <w:t xml:space="preserve">-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poticanje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kvalitetnih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održivih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javno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dostupnih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954A7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događanja</w:t>
      </w:r>
      <w:proofErr w:type="spellEnd"/>
    </w:p>
    <w:p w14:paraId="1422A08C" w14:textId="77777777" w:rsidR="00BF2872" w:rsidRPr="007222F1" w:rsidRDefault="00BF2872" w:rsidP="00BF2872">
      <w:pPr>
        <w:widowControl/>
        <w:autoSpaceDE/>
        <w:autoSpaceDN/>
        <w:spacing w:after="200" w:line="360" w:lineRule="auto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6534EEA7" w14:textId="77777777" w:rsidR="00BF2872" w:rsidRPr="007222F1" w:rsidRDefault="00BF2872" w:rsidP="00BF2872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</w:pPr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III. PRIHVATLJIVI PRIJAVITELJI</w:t>
      </w:r>
    </w:p>
    <w:p w14:paraId="3AB46F16" w14:textId="2F60202A" w:rsidR="00BF2872" w:rsidRPr="007222F1" w:rsidRDefault="00BF2872" w:rsidP="00BF2872">
      <w:pPr>
        <w:widowControl/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Prijavitelji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mogu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biti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udruge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sportski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klubovi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kulturne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druge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organizacije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ustanove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druge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pravne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osobe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registrirane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u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Republici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Hrvatskoj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koje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organiziraju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954A7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na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području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Grada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Malog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Lošinja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.</w:t>
      </w:r>
    </w:p>
    <w:p w14:paraId="3716607B" w14:textId="5DB2582F" w:rsidR="00BF2872" w:rsidRPr="007222F1" w:rsidRDefault="004954A7" w:rsidP="00BF2872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</w:pPr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lastRenderedPageBreak/>
        <w:t>IV. PRIHVATLJIVA</w:t>
      </w:r>
      <w:r w:rsidR="00BF2872"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 xml:space="preserve"> </w:t>
      </w:r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DOGAĐANJA</w:t>
      </w:r>
    </w:p>
    <w:p w14:paraId="70801F14" w14:textId="2F1DBF22" w:rsidR="00BF2872" w:rsidRPr="007222F1" w:rsidRDefault="004954A7" w:rsidP="00BF2872">
      <w:pPr>
        <w:widowControl/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Prihvatljiva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su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događanja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kulturnog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sportskog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zabavnog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gastronomskog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drugog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turističkog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karaktera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koje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imaju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javni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karakter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doprinose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promociji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destinacije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privlače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posjetitelje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te</w:t>
      </w:r>
      <w:proofErr w:type="spellEnd"/>
      <w:proofErr w:type="gram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imaju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jasno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definiran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program i plan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promocije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.</w:t>
      </w:r>
    </w:p>
    <w:p w14:paraId="0F75D2C2" w14:textId="77777777" w:rsidR="00BF2872" w:rsidRPr="007222F1" w:rsidRDefault="00BF2872" w:rsidP="00BF2872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7E353EA5" w14:textId="2C6DA15E" w:rsidR="00BF2872" w:rsidRPr="007222F1" w:rsidRDefault="004954A7" w:rsidP="00BF2872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</w:pPr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V. NEPRIHVATLJIVA</w:t>
      </w:r>
      <w:r w:rsidR="00BF2872"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 xml:space="preserve"> </w:t>
      </w:r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DOGAĐANJA</w:t>
      </w:r>
    </w:p>
    <w:p w14:paraId="5BB12DDC" w14:textId="5D74B3AB" w:rsidR="00BF2872" w:rsidRPr="007222F1" w:rsidRDefault="00BF2872" w:rsidP="00BF2872">
      <w:pPr>
        <w:widowControl/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Potpora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se ne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dodjeljuje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zatvorenim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događanjima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  <w:proofErr w:type="spellStart"/>
      <w:r w:rsidR="004954A7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događanjima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bez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turističkog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učinka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isključivo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komercijalnim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događanjima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bez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javnog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interesa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te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954A7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događanjima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koj</w:t>
      </w:r>
      <w:r w:rsidR="004954A7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već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financirane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iz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drugih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programa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TZG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Malog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Lošinja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istu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namjenu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.</w:t>
      </w:r>
    </w:p>
    <w:p w14:paraId="36232349" w14:textId="77777777" w:rsidR="00BF2872" w:rsidRPr="007222F1" w:rsidRDefault="00BF2872" w:rsidP="00BF2872">
      <w:pPr>
        <w:widowControl/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37393CBF" w14:textId="77777777" w:rsidR="00BF2872" w:rsidRPr="007222F1" w:rsidRDefault="00BF2872" w:rsidP="00BF2872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</w:pPr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VI. IZNOS I NAMJENA POTPORE</w:t>
      </w:r>
    </w:p>
    <w:p w14:paraId="29DC2D7A" w14:textId="288F4473" w:rsidR="00BF2872" w:rsidRPr="007222F1" w:rsidRDefault="00BF2872" w:rsidP="00BF2872">
      <w:pPr>
        <w:widowControl/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Sredstva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se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dodjeljuju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kao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bespovratne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financijske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potpore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mogu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se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koristiti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isključivo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troškove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organizacije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provedbe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954A7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. TZG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Malog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Lošinja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zadržava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pravo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odobravanja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manjeg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iznosa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od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zatraženog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ili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nedodjeljivanja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sredstava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.</w:t>
      </w:r>
    </w:p>
    <w:p w14:paraId="7D0D73F1" w14:textId="77777777" w:rsidR="00BF2872" w:rsidRPr="007222F1" w:rsidRDefault="00BF2872" w:rsidP="00BF2872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7EC95CBC" w14:textId="77777777" w:rsidR="00BF2872" w:rsidRPr="007222F1" w:rsidRDefault="00BF2872" w:rsidP="00BF2872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</w:pPr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VII. OBVEZNA DOKUMENTACIJA</w:t>
      </w:r>
    </w:p>
    <w:p w14:paraId="0825EF3F" w14:textId="77777777" w:rsidR="00BF2872" w:rsidRPr="007222F1" w:rsidRDefault="00BF2872" w:rsidP="00BF2872">
      <w:pPr>
        <w:widowControl/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Prijava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mora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sadržavati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: </w:t>
      </w:r>
    </w:p>
    <w:p w14:paraId="0B53F316" w14:textId="3658F039" w:rsidR="004954A7" w:rsidRPr="007222F1" w:rsidRDefault="00D430E8" w:rsidP="00E04D35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Detaljni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program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događanja</w:t>
      </w:r>
      <w:proofErr w:type="spellEnd"/>
    </w:p>
    <w:p w14:paraId="3719D0D6" w14:textId="77777777" w:rsidR="00BF2872" w:rsidRPr="007222F1" w:rsidRDefault="00BF2872" w:rsidP="00BF287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Pristupnicu</w:t>
      </w:r>
      <w:proofErr w:type="spellEnd"/>
    </w:p>
    <w:p w14:paraId="4E4E862B" w14:textId="658C3C02" w:rsidR="00BF2872" w:rsidRPr="007222F1" w:rsidRDefault="008B5155" w:rsidP="00BF287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Izvori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financiranja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–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prihodi</w:t>
      </w:r>
      <w:proofErr w:type="spellEnd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 </w:t>
      </w:r>
      <w:proofErr w:type="spellStart"/>
      <w:r w:rsidR="00BF2872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rashodi</w:t>
      </w:r>
      <w:proofErr w:type="spellEnd"/>
    </w:p>
    <w:p w14:paraId="64D3EB04" w14:textId="7B8F5A46" w:rsidR="00BF2872" w:rsidRPr="007222F1" w:rsidRDefault="00BF2872" w:rsidP="00BF287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Media plan </w:t>
      </w:r>
      <w:proofErr w:type="spellStart"/>
      <w:r w:rsidR="004954A7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događanja</w:t>
      </w:r>
      <w:proofErr w:type="spellEnd"/>
    </w:p>
    <w:p w14:paraId="45872DE9" w14:textId="77777777" w:rsidR="004954A7" w:rsidRPr="007222F1" w:rsidRDefault="00BF2872" w:rsidP="00BF287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Dokaz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o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registraciji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pravne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osobe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. </w:t>
      </w:r>
    </w:p>
    <w:p w14:paraId="57933933" w14:textId="77777777" w:rsidR="004954A7" w:rsidRPr="007222F1" w:rsidRDefault="004954A7" w:rsidP="004954A7">
      <w:pPr>
        <w:widowControl/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0DF79A13" w14:textId="6DF90E7F" w:rsidR="00BF2872" w:rsidRPr="007222F1" w:rsidRDefault="00BF2872" w:rsidP="004954A7">
      <w:pPr>
        <w:widowControl/>
        <w:autoSpaceDE/>
        <w:autoSpaceDN/>
        <w:spacing w:after="200" w:line="276" w:lineRule="auto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Nepotpune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prijave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neće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se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razmatrati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.</w:t>
      </w:r>
    </w:p>
    <w:p w14:paraId="3FF2E621" w14:textId="77777777" w:rsidR="00BF2872" w:rsidRPr="007222F1" w:rsidRDefault="00BF2872" w:rsidP="00BF2872">
      <w:pPr>
        <w:pStyle w:val="ListParagraph"/>
        <w:widowControl/>
        <w:autoSpaceDE/>
        <w:autoSpaceDN/>
        <w:spacing w:after="200" w:line="276" w:lineRule="auto"/>
        <w:ind w:left="720" w:firstLine="0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14916555" w14:textId="77777777" w:rsidR="00BF2872" w:rsidRPr="007222F1" w:rsidRDefault="00BF2872" w:rsidP="00BF2872">
      <w:pPr>
        <w:pStyle w:val="ListParagraph"/>
        <w:widowControl/>
        <w:autoSpaceDE/>
        <w:autoSpaceDN/>
        <w:spacing w:after="200" w:line="276" w:lineRule="auto"/>
        <w:ind w:left="720" w:firstLine="0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28E9221B" w14:textId="77777777" w:rsidR="00BF2872" w:rsidRPr="007222F1" w:rsidRDefault="00BF2872" w:rsidP="00BF2872">
      <w:pPr>
        <w:pStyle w:val="ListParagraph"/>
        <w:widowControl/>
        <w:autoSpaceDE/>
        <w:autoSpaceDN/>
        <w:spacing w:after="200" w:line="276" w:lineRule="auto"/>
        <w:ind w:left="720" w:firstLine="0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12CE3071" w14:textId="77777777" w:rsidR="00BF2872" w:rsidRPr="007222F1" w:rsidRDefault="00BF2872" w:rsidP="00BF2872">
      <w:pPr>
        <w:pStyle w:val="ListParagraph"/>
        <w:widowControl/>
        <w:autoSpaceDE/>
        <w:autoSpaceDN/>
        <w:spacing w:after="200" w:line="276" w:lineRule="auto"/>
        <w:ind w:left="720" w:firstLine="0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0B250F3C" w14:textId="77777777" w:rsidR="00BF2872" w:rsidRPr="007222F1" w:rsidRDefault="00BF2872" w:rsidP="00BF2872">
      <w:pPr>
        <w:pStyle w:val="ListParagraph"/>
        <w:widowControl/>
        <w:autoSpaceDE/>
        <w:autoSpaceDN/>
        <w:spacing w:after="200" w:line="276" w:lineRule="auto"/>
        <w:ind w:left="720" w:firstLine="0"/>
        <w:jc w:val="both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27C61C68" w14:textId="763C90AE" w:rsidR="00BF2872" w:rsidRPr="007222F1" w:rsidRDefault="00BF2872" w:rsidP="00BF2872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</w:pPr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VIII. KRITERIJI I BODOVANJE</w:t>
      </w:r>
    </w:p>
    <w:p w14:paraId="6C187913" w14:textId="1DCD8C00" w:rsidR="00BF2872" w:rsidRPr="007222F1" w:rsidRDefault="00BF2872" w:rsidP="00BF2872">
      <w:pPr>
        <w:widowControl/>
        <w:autoSpaceDE/>
        <w:autoSpaceDN/>
        <w:spacing w:after="200" w:line="360" w:lineRule="auto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Prijave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se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vrednuju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prema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sljedećim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kriterijima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(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maks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. 100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bodova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):</w:t>
      </w:r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br/>
        <w:t xml:space="preserve">1.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Doprinos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turističkoj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ponudi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imidžu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destinacije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– 25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bodova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br/>
        <w:t xml:space="preserve">2.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Termin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održavanja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954A7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– 15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bodova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br/>
        <w:t xml:space="preserve">3.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Kvaliteta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struktura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programa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– 15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bodova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br/>
        <w:t xml:space="preserve">4.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Medijska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vidljivost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promocija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– 15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bodova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br/>
        <w:t xml:space="preserve">5.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Međunarodni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karakter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i/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ili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doseg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954A7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događanja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– 20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bodova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br/>
        <w:t xml:space="preserve">6.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Financijska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realnost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održivost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– 10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bodova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br/>
      </w:r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br/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Minimalni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prag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dodjelu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potpore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iznosi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50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bodova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.</w:t>
      </w:r>
    </w:p>
    <w:p w14:paraId="40D71BE7" w14:textId="77777777" w:rsidR="00BF2872" w:rsidRPr="007222F1" w:rsidRDefault="00BF2872" w:rsidP="00BF2872">
      <w:pPr>
        <w:widowControl/>
        <w:autoSpaceDE/>
        <w:autoSpaceDN/>
        <w:spacing w:after="200" w:line="360" w:lineRule="auto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01E9CA83" w14:textId="77777777" w:rsidR="00BF2872" w:rsidRPr="007222F1" w:rsidRDefault="00BF2872" w:rsidP="00BF2872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</w:pPr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IX. OBVEZE KORISNIKA POTPORE</w:t>
      </w:r>
    </w:p>
    <w:p w14:paraId="010AB9C4" w14:textId="6A949AB0" w:rsidR="00BF2872" w:rsidRPr="007222F1" w:rsidRDefault="00BF2872" w:rsidP="00BF2872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Korisnici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obvezni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u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svim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promotivnim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materijalima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istaknuti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TZG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Malog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Lošinja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koristiti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vizualni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identitet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Lošinj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–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Otok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vitalnosti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i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oznaku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#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visitlosinj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te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dostaviti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izvješće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o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realizaciji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954A7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dogaqđanja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.</w:t>
      </w:r>
      <w:bookmarkStart w:id="0" w:name="_GoBack"/>
      <w:bookmarkEnd w:id="0"/>
    </w:p>
    <w:p w14:paraId="17564928" w14:textId="77777777" w:rsidR="00BF2872" w:rsidRPr="007222F1" w:rsidRDefault="00BF2872" w:rsidP="00BF2872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  <w:lang w:val="en-US"/>
        </w:rPr>
      </w:pPr>
    </w:p>
    <w:p w14:paraId="13855433" w14:textId="77777777" w:rsidR="00BF2872" w:rsidRPr="007222F1" w:rsidRDefault="00BF2872" w:rsidP="00BF2872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</w:pPr>
      <w:r w:rsidRPr="007222F1">
        <w:rPr>
          <w:rFonts w:asciiTheme="minorHAnsi" w:eastAsia="MS Gothic" w:hAnsiTheme="minorHAnsi" w:cstheme="minorHAnsi"/>
          <w:b/>
          <w:bCs/>
          <w:sz w:val="24"/>
          <w:szCs w:val="24"/>
          <w:lang w:val="en-US"/>
        </w:rPr>
        <w:t>X. NAČIN I ROK PODNOŠENJA PRIJAVA</w:t>
      </w:r>
    </w:p>
    <w:p w14:paraId="64414E02" w14:textId="77777777" w:rsidR="00BF2872" w:rsidRPr="007222F1" w:rsidRDefault="00BF2872" w:rsidP="00BF2872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Svaki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program se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prijavljuje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na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zasebnoj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pristupnici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. </w:t>
      </w:r>
    </w:p>
    <w:p w14:paraId="0DC79CF4" w14:textId="77777777" w:rsidR="00D430E8" w:rsidRPr="007222F1" w:rsidRDefault="00BF2872" w:rsidP="00BF2872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Prijedlozi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programa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dostavljaju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se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elektroničkim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putem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na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e-mail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adresu</w:t>
      </w:r>
      <w:proofErr w:type="spellEnd"/>
      <w:r w:rsidR="00D430E8"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:</w:t>
      </w:r>
    </w:p>
    <w:p w14:paraId="615EB046" w14:textId="799A6F9E" w:rsidR="00D430E8" w:rsidRPr="007222F1" w:rsidRDefault="00BF2872" w:rsidP="00BF2872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  <w:lang w:val="en-US"/>
        </w:rPr>
      </w:pPr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</w:t>
      </w:r>
      <w:hyperlink r:id="rId7" w:history="1">
        <w:r w:rsidR="00D430E8" w:rsidRPr="007222F1">
          <w:rPr>
            <w:rStyle w:val="Hyperlink"/>
            <w:rFonts w:asciiTheme="minorHAnsi" w:eastAsia="MS Mincho" w:hAnsiTheme="minorHAnsi" w:cstheme="minorHAnsi"/>
            <w:color w:val="auto"/>
            <w:sz w:val="24"/>
            <w:szCs w:val="24"/>
            <w:lang w:val="en-US"/>
          </w:rPr>
          <w:t>losinj@visitlosinj.hr</w:t>
        </w:r>
      </w:hyperlink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, </w:t>
      </w:r>
    </w:p>
    <w:p w14:paraId="7CFBD147" w14:textId="089D58A8" w:rsidR="00BF2872" w:rsidRPr="007222F1" w:rsidRDefault="00BF2872" w:rsidP="00BF2872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  <w:lang w:val="en-US"/>
        </w:rPr>
      </w:pP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zaključno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s </w:t>
      </w:r>
      <w:proofErr w:type="spell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danom</w:t>
      </w:r>
      <w:proofErr w:type="spell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15.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veljače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 xml:space="preserve"> 2026. </w:t>
      </w:r>
      <w:proofErr w:type="spellStart"/>
      <w:proofErr w:type="gramStart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godine</w:t>
      </w:r>
      <w:proofErr w:type="spellEnd"/>
      <w:proofErr w:type="gramEnd"/>
      <w:r w:rsidRPr="007222F1">
        <w:rPr>
          <w:rFonts w:asciiTheme="minorHAnsi" w:eastAsia="MS Mincho" w:hAnsiTheme="minorHAnsi" w:cstheme="minorHAnsi"/>
          <w:sz w:val="24"/>
          <w:szCs w:val="24"/>
          <w:lang w:val="en-US"/>
        </w:rPr>
        <w:t>.</w:t>
      </w:r>
    </w:p>
    <w:p w14:paraId="0EB5B39C" w14:textId="74D87FE2" w:rsidR="000913E7" w:rsidRPr="007222F1" w:rsidRDefault="000913E7" w:rsidP="00BF2872"/>
    <w:sectPr w:rsidR="000913E7" w:rsidRPr="007222F1" w:rsidSect="000913E7">
      <w:headerReference w:type="default" r:id="rId8"/>
      <w:footerReference w:type="default" r:id="rId9"/>
      <w:pgSz w:w="11900" w:h="16820"/>
      <w:pgMar w:top="2434" w:right="1246" w:bottom="1892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F697D" w14:textId="77777777" w:rsidR="00C60786" w:rsidRDefault="00C60786" w:rsidP="00864645">
      <w:r>
        <w:separator/>
      </w:r>
    </w:p>
  </w:endnote>
  <w:endnote w:type="continuationSeparator" w:id="0">
    <w:p w14:paraId="08B7550D" w14:textId="77777777" w:rsidR="00C60786" w:rsidRDefault="00C60786" w:rsidP="0086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A56E6" w14:textId="77777777" w:rsidR="00864645" w:rsidRDefault="00864645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C1C36D2" wp14:editId="1170145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8488800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4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F6E78" w14:textId="77777777" w:rsidR="00C60786" w:rsidRDefault="00C60786" w:rsidP="00864645">
      <w:r>
        <w:separator/>
      </w:r>
    </w:p>
  </w:footnote>
  <w:footnote w:type="continuationSeparator" w:id="0">
    <w:p w14:paraId="548E097F" w14:textId="77777777" w:rsidR="00C60786" w:rsidRDefault="00C60786" w:rsidP="00864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195E4" w14:textId="77777777" w:rsidR="00864645" w:rsidRDefault="0086464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AE5162E" wp14:editId="4190D3DA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151200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C14B4"/>
    <w:multiLevelType w:val="hybridMultilevel"/>
    <w:tmpl w:val="C7AA78D0"/>
    <w:lvl w:ilvl="0" w:tplc="520CFCA4">
      <w:numFmt w:val="bullet"/>
      <w:lvlText w:val="-"/>
      <w:lvlJc w:val="left"/>
      <w:pPr>
        <w:ind w:left="14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hr-HR" w:eastAsia="en-US" w:bidi="ar-SA"/>
      </w:rPr>
    </w:lvl>
    <w:lvl w:ilvl="1" w:tplc="C65E8FC4">
      <w:numFmt w:val="bullet"/>
      <w:lvlText w:val="•"/>
      <w:lvlJc w:val="left"/>
      <w:pPr>
        <w:ind w:left="2209" w:hanging="360"/>
      </w:pPr>
      <w:rPr>
        <w:rFonts w:hint="default"/>
        <w:lang w:val="hr-HR" w:eastAsia="en-US" w:bidi="ar-SA"/>
      </w:rPr>
    </w:lvl>
    <w:lvl w:ilvl="2" w:tplc="C6427930">
      <w:numFmt w:val="bullet"/>
      <w:lvlText w:val="•"/>
      <w:lvlJc w:val="left"/>
      <w:pPr>
        <w:ind w:left="3018" w:hanging="360"/>
      </w:pPr>
      <w:rPr>
        <w:rFonts w:hint="default"/>
        <w:lang w:val="hr-HR" w:eastAsia="en-US" w:bidi="ar-SA"/>
      </w:rPr>
    </w:lvl>
    <w:lvl w:ilvl="3" w:tplc="86C4B2BE">
      <w:numFmt w:val="bullet"/>
      <w:lvlText w:val="•"/>
      <w:lvlJc w:val="left"/>
      <w:pPr>
        <w:ind w:left="3827" w:hanging="360"/>
      </w:pPr>
      <w:rPr>
        <w:rFonts w:hint="default"/>
        <w:lang w:val="hr-HR" w:eastAsia="en-US" w:bidi="ar-SA"/>
      </w:rPr>
    </w:lvl>
    <w:lvl w:ilvl="4" w:tplc="CA60453C">
      <w:numFmt w:val="bullet"/>
      <w:lvlText w:val="•"/>
      <w:lvlJc w:val="left"/>
      <w:pPr>
        <w:ind w:left="4636" w:hanging="360"/>
      </w:pPr>
      <w:rPr>
        <w:rFonts w:hint="default"/>
        <w:lang w:val="hr-HR" w:eastAsia="en-US" w:bidi="ar-SA"/>
      </w:rPr>
    </w:lvl>
    <w:lvl w:ilvl="5" w:tplc="949E1958">
      <w:numFmt w:val="bullet"/>
      <w:lvlText w:val="•"/>
      <w:lvlJc w:val="left"/>
      <w:pPr>
        <w:ind w:left="5445" w:hanging="360"/>
      </w:pPr>
      <w:rPr>
        <w:rFonts w:hint="default"/>
        <w:lang w:val="hr-HR" w:eastAsia="en-US" w:bidi="ar-SA"/>
      </w:rPr>
    </w:lvl>
    <w:lvl w:ilvl="6" w:tplc="BDDC1C94">
      <w:numFmt w:val="bullet"/>
      <w:lvlText w:val="•"/>
      <w:lvlJc w:val="left"/>
      <w:pPr>
        <w:ind w:left="6254" w:hanging="360"/>
      </w:pPr>
      <w:rPr>
        <w:rFonts w:hint="default"/>
        <w:lang w:val="hr-HR" w:eastAsia="en-US" w:bidi="ar-SA"/>
      </w:rPr>
    </w:lvl>
    <w:lvl w:ilvl="7" w:tplc="9A8A4FF0">
      <w:numFmt w:val="bullet"/>
      <w:lvlText w:val="•"/>
      <w:lvlJc w:val="left"/>
      <w:pPr>
        <w:ind w:left="7063" w:hanging="360"/>
      </w:pPr>
      <w:rPr>
        <w:rFonts w:hint="default"/>
        <w:lang w:val="hr-HR" w:eastAsia="en-US" w:bidi="ar-SA"/>
      </w:rPr>
    </w:lvl>
    <w:lvl w:ilvl="8" w:tplc="09C070CE">
      <w:numFmt w:val="bullet"/>
      <w:lvlText w:val="•"/>
      <w:lvlJc w:val="left"/>
      <w:pPr>
        <w:ind w:left="7872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72C6BAF"/>
    <w:multiLevelType w:val="hybridMultilevel"/>
    <w:tmpl w:val="1A080A4E"/>
    <w:lvl w:ilvl="0" w:tplc="D54C8756">
      <w:start w:val="1"/>
      <w:numFmt w:val="upperRoman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86"/>
    <w:rsid w:val="000913E7"/>
    <w:rsid w:val="0014497F"/>
    <w:rsid w:val="00197E67"/>
    <w:rsid w:val="003B1CD2"/>
    <w:rsid w:val="004954A7"/>
    <w:rsid w:val="007222F1"/>
    <w:rsid w:val="00767D5D"/>
    <w:rsid w:val="007E250B"/>
    <w:rsid w:val="00847E7B"/>
    <w:rsid w:val="00864645"/>
    <w:rsid w:val="008809F4"/>
    <w:rsid w:val="008B5155"/>
    <w:rsid w:val="00912396"/>
    <w:rsid w:val="0092718C"/>
    <w:rsid w:val="00994A66"/>
    <w:rsid w:val="00A44E98"/>
    <w:rsid w:val="00B80C88"/>
    <w:rsid w:val="00BF2872"/>
    <w:rsid w:val="00C01CBB"/>
    <w:rsid w:val="00C60786"/>
    <w:rsid w:val="00D430E8"/>
    <w:rsid w:val="00E04D35"/>
    <w:rsid w:val="00EA2DB1"/>
    <w:rsid w:val="00F90001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FCB8"/>
  <w15:chartTrackingRefBased/>
  <w15:docId w15:val="{E57B366B-AA62-4FD9-AD9A-E8BB8679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 Light" w:eastAsiaTheme="minorHAnsi" w:hAnsi="Helvetica Neue Light" w:cs="Times New Roman (Body CS)"/>
        <w:sz w:val="22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86"/>
    <w:pPr>
      <w:widowControl w:val="0"/>
      <w:autoSpaceDE w:val="0"/>
      <w:autoSpaceDN w:val="0"/>
    </w:pPr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645"/>
  </w:style>
  <w:style w:type="paragraph" w:styleId="Footer">
    <w:name w:val="footer"/>
    <w:basedOn w:val="Normal"/>
    <w:link w:val="FooterChar"/>
    <w:uiPriority w:val="99"/>
    <w:unhideWhenUsed/>
    <w:rsid w:val="00864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645"/>
  </w:style>
  <w:style w:type="paragraph" w:styleId="BodyText">
    <w:name w:val="Body Text"/>
    <w:basedOn w:val="Normal"/>
    <w:link w:val="BodyTextChar"/>
    <w:uiPriority w:val="1"/>
    <w:qFormat/>
    <w:rsid w:val="00C60786"/>
    <w:pPr>
      <w:ind w:left="70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60786"/>
    <w:rPr>
      <w:rFonts w:ascii="Calibri" w:eastAsia="Calibri" w:hAnsi="Calibri" w:cs="Calibri"/>
      <w:sz w:val="26"/>
      <w:szCs w:val="26"/>
      <w:lang w:val="hr-HR"/>
    </w:rPr>
  </w:style>
  <w:style w:type="paragraph" w:styleId="ListParagraph">
    <w:name w:val="List Paragraph"/>
    <w:basedOn w:val="Normal"/>
    <w:uiPriority w:val="1"/>
    <w:qFormat/>
    <w:rsid w:val="00C60786"/>
    <w:pPr>
      <w:spacing w:line="293" w:lineRule="exact"/>
      <w:ind w:left="1403" w:hanging="360"/>
    </w:pPr>
  </w:style>
  <w:style w:type="character" w:styleId="Hyperlink">
    <w:name w:val="Hyperlink"/>
    <w:basedOn w:val="DefaultParagraphFont"/>
    <w:uiPriority w:val="99"/>
    <w:unhideWhenUsed/>
    <w:rsid w:val="00C607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0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sinj@visitlo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erka\Desktop\TZGML_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TZGML_memo.dotx</Template>
  <TotalTime>14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Microsoft account</cp:lastModifiedBy>
  <cp:revision>6</cp:revision>
  <dcterms:created xsi:type="dcterms:W3CDTF">2026-01-19T12:27:00Z</dcterms:created>
  <dcterms:modified xsi:type="dcterms:W3CDTF">2026-01-19T13:10:00Z</dcterms:modified>
</cp:coreProperties>
</file>